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5F6C" w14:textId="7EF8260C" w:rsidR="00ED7D01" w:rsidRDefault="00033F2F" w:rsidP="0028798E">
      <w:pPr>
        <w:pStyle w:val="Heading1"/>
        <w:ind w:left="0" w:right="92"/>
        <w:rPr>
          <w:spacing w:val="-2"/>
          <w:u w:val="single"/>
        </w:rPr>
      </w:pPr>
      <w:r>
        <w:rPr>
          <w:u w:val="single"/>
        </w:rPr>
        <w:t>Tender</w:t>
      </w:r>
      <w:r>
        <w:rPr>
          <w:spacing w:val="-5"/>
          <w:u w:val="single"/>
        </w:rPr>
        <w:t xml:space="preserve"> </w:t>
      </w:r>
      <w:r>
        <w:rPr>
          <w:u w:val="single"/>
        </w:rPr>
        <w:t>Notice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 w:rsidR="00D32A9F">
        <w:rPr>
          <w:u w:val="single"/>
        </w:rPr>
        <w:t>S</w:t>
      </w:r>
      <w:r>
        <w:rPr>
          <w:u w:val="single"/>
        </w:rPr>
        <w:t>ale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 w:rsidR="00D32A9F">
        <w:rPr>
          <w:spacing w:val="-2"/>
          <w:u w:val="single"/>
        </w:rPr>
        <w:t xml:space="preserve">Existing </w:t>
      </w:r>
      <w:r w:rsidR="00EC2D4E">
        <w:rPr>
          <w:spacing w:val="-2"/>
          <w:u w:val="single"/>
        </w:rPr>
        <w:t>Ab</w:t>
      </w:r>
      <w:r w:rsidR="007A6730">
        <w:rPr>
          <w:spacing w:val="-2"/>
          <w:u w:val="single"/>
        </w:rPr>
        <w:t>andoned</w:t>
      </w:r>
      <w:r w:rsidR="00EC2D4E">
        <w:rPr>
          <w:spacing w:val="-2"/>
          <w:u w:val="single"/>
        </w:rPr>
        <w:t xml:space="preserve"> </w:t>
      </w:r>
      <w:r w:rsidR="00D32A9F">
        <w:rPr>
          <w:spacing w:val="-2"/>
          <w:u w:val="single"/>
        </w:rPr>
        <w:t>Containerized Office</w:t>
      </w:r>
    </w:p>
    <w:p w14:paraId="00C29023" w14:textId="10D88F53" w:rsidR="00100A51" w:rsidRDefault="00D32A9F" w:rsidP="0028798E">
      <w:pPr>
        <w:pStyle w:val="Heading1"/>
        <w:ind w:left="0" w:right="92"/>
      </w:pPr>
      <w:r>
        <w:rPr>
          <w:spacing w:val="-2"/>
          <w:u w:val="single"/>
        </w:rPr>
        <w:t>at Pipavav Port</w:t>
      </w:r>
    </w:p>
    <w:p w14:paraId="432038C0" w14:textId="69C201FD" w:rsidR="00100A51" w:rsidRDefault="00033F2F" w:rsidP="00584A4F">
      <w:pPr>
        <w:spacing w:before="283"/>
        <w:ind w:right="365"/>
        <w:jc w:val="both"/>
        <w:rPr>
          <w:sz w:val="25"/>
        </w:rPr>
      </w:pPr>
      <w:r>
        <w:rPr>
          <w:sz w:val="25"/>
        </w:rPr>
        <w:t xml:space="preserve">The </w:t>
      </w:r>
      <w:r w:rsidR="00D32A9F">
        <w:rPr>
          <w:sz w:val="25"/>
        </w:rPr>
        <w:t xml:space="preserve">Gujarat Pipavav Port Limited </w:t>
      </w:r>
      <w:r>
        <w:rPr>
          <w:sz w:val="25"/>
        </w:rPr>
        <w:t xml:space="preserve">invites sealed tenders from reputed purchasers for </w:t>
      </w:r>
      <w:r w:rsidR="0065133A" w:rsidRPr="00F21C3B">
        <w:rPr>
          <w:b/>
          <w:bCs/>
          <w:sz w:val="25"/>
        </w:rPr>
        <w:t xml:space="preserve">Sale Out of </w:t>
      </w:r>
      <w:r w:rsidR="00D32A9F" w:rsidRPr="00F21C3B">
        <w:rPr>
          <w:b/>
          <w:bCs/>
          <w:sz w:val="25"/>
        </w:rPr>
        <w:t xml:space="preserve">Existing </w:t>
      </w:r>
      <w:r w:rsidR="007A6730">
        <w:rPr>
          <w:b/>
          <w:bCs/>
          <w:sz w:val="25"/>
        </w:rPr>
        <w:t>A</w:t>
      </w:r>
      <w:r w:rsidR="007A6730" w:rsidRPr="007A6730">
        <w:rPr>
          <w:b/>
          <w:bCs/>
          <w:sz w:val="25"/>
        </w:rPr>
        <w:t>bandoned</w:t>
      </w:r>
      <w:r w:rsidR="00EC2D4E" w:rsidRPr="00F21C3B">
        <w:rPr>
          <w:b/>
          <w:bCs/>
          <w:sz w:val="25"/>
        </w:rPr>
        <w:t xml:space="preserve"> </w:t>
      </w:r>
      <w:r w:rsidR="00D32A9F" w:rsidRPr="00F21C3B">
        <w:rPr>
          <w:b/>
          <w:bCs/>
          <w:sz w:val="25"/>
        </w:rPr>
        <w:t>Containerized office</w:t>
      </w:r>
      <w:r w:rsidR="00D32A9F">
        <w:rPr>
          <w:sz w:val="25"/>
        </w:rPr>
        <w:t xml:space="preserve"> located at BOD area</w:t>
      </w:r>
    </w:p>
    <w:p w14:paraId="776D190C" w14:textId="77777777" w:rsidR="00100A51" w:rsidRDefault="00100A51" w:rsidP="00584A4F">
      <w:pPr>
        <w:pStyle w:val="BodyText"/>
        <w:spacing w:before="1"/>
        <w:jc w:val="both"/>
        <w:rPr>
          <w:sz w:val="25"/>
        </w:rPr>
      </w:pPr>
    </w:p>
    <w:p w14:paraId="6E9E1035" w14:textId="44765561" w:rsidR="00100A51" w:rsidRDefault="00033F2F" w:rsidP="00584A4F">
      <w:pPr>
        <w:pStyle w:val="BodyText"/>
        <w:spacing w:line="360" w:lineRule="auto"/>
        <w:ind w:right="360"/>
        <w:jc w:val="both"/>
      </w:pPr>
      <w:r>
        <w:t xml:space="preserve">Interested Purchasers should inspect &amp; satisfy themselves regarding condition of </w:t>
      </w:r>
      <w:r w:rsidR="00870588">
        <w:t>th</w:t>
      </w:r>
      <w:r w:rsidR="006C5869">
        <w:t xml:space="preserve">is Containerised </w:t>
      </w:r>
      <w:r w:rsidR="00870588">
        <w:t xml:space="preserve">office </w:t>
      </w:r>
      <w:r>
        <w:t>before</w:t>
      </w:r>
      <w:r>
        <w:rPr>
          <w:spacing w:val="-3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 tender</w:t>
      </w:r>
      <w:r>
        <w:rPr>
          <w:spacing w:val="-3"/>
        </w:rPr>
        <w:t xml:space="preserve"> </w:t>
      </w:r>
      <w:r w:rsidR="00870588">
        <w:rPr>
          <w:spacing w:val="-3"/>
        </w:rPr>
        <w:t>process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70588">
        <w:rPr>
          <w:spacing w:val="-3"/>
        </w:rPr>
        <w:t>containerized office</w:t>
      </w:r>
      <w:r>
        <w:rPr>
          <w:spacing w:val="-3"/>
        </w:rPr>
        <w:t xml:space="preserve"> </w:t>
      </w:r>
      <w:r w:rsidR="006C5869">
        <w:t>is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sold on </w:t>
      </w:r>
      <w:r>
        <w:rPr>
          <w:b/>
        </w:rPr>
        <w:t>“As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where</w:t>
      </w:r>
      <w:r>
        <w:rPr>
          <w:b/>
          <w:spacing w:val="-3"/>
        </w:rPr>
        <w:t xml:space="preserve"> </w:t>
      </w:r>
      <w:r>
        <w:rPr>
          <w:b/>
        </w:rPr>
        <w:t>is basis”</w:t>
      </w:r>
      <w:r>
        <w:rPr>
          <w:b/>
          <w:spacing w:val="-2"/>
        </w:rPr>
        <w:t xml:space="preserve"> </w:t>
      </w:r>
      <w:r>
        <w:rPr>
          <w:b/>
        </w:rPr>
        <w:t>and “no</w:t>
      </w:r>
      <w:r>
        <w:rPr>
          <w:b/>
          <w:spacing w:val="-3"/>
        </w:rPr>
        <w:t xml:space="preserve"> </w:t>
      </w:r>
      <w:r>
        <w:rPr>
          <w:b/>
        </w:rPr>
        <w:t>rejection</w:t>
      </w:r>
      <w:r>
        <w:rPr>
          <w:b/>
          <w:spacing w:val="-3"/>
        </w:rPr>
        <w:t xml:space="preserve"> </w:t>
      </w:r>
      <w:r>
        <w:rPr>
          <w:b/>
        </w:rPr>
        <w:t xml:space="preserve">basis” </w:t>
      </w:r>
      <w:r>
        <w:t>only. The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quoted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GST 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taxes if any. The </w:t>
      </w:r>
      <w:r w:rsidR="00D32A9F">
        <w:t xml:space="preserve">offer </w:t>
      </w:r>
      <w:r>
        <w:t xml:space="preserve">should be sent on or </w:t>
      </w:r>
      <w:r w:rsidRPr="00D32A9F">
        <w:rPr>
          <w:highlight w:val="yellow"/>
        </w:rPr>
        <w:t xml:space="preserve">before </w:t>
      </w:r>
      <w:r w:rsidR="00D32A9F">
        <w:rPr>
          <w:highlight w:val="yellow"/>
        </w:rPr>
        <w:t>date</w:t>
      </w:r>
      <w:r w:rsidR="0030666E">
        <w:rPr>
          <w:highlight w:val="yellow"/>
        </w:rPr>
        <w:t xml:space="preserve"> 08</w:t>
      </w:r>
      <w:r w:rsidRPr="00D32A9F">
        <w:rPr>
          <w:highlight w:val="yellow"/>
        </w:rPr>
        <w:t>.</w:t>
      </w:r>
      <w:r w:rsidR="0030666E">
        <w:rPr>
          <w:highlight w:val="yellow"/>
        </w:rPr>
        <w:t>08</w:t>
      </w:r>
      <w:r w:rsidRPr="00D32A9F">
        <w:rPr>
          <w:highlight w:val="yellow"/>
        </w:rPr>
        <w:t>.202</w:t>
      </w:r>
      <w:r w:rsidR="00D32A9F" w:rsidRPr="00D32A9F">
        <w:rPr>
          <w:highlight w:val="yellow"/>
        </w:rPr>
        <w:t>5</w:t>
      </w:r>
      <w:r w:rsidRPr="00D32A9F">
        <w:rPr>
          <w:highlight w:val="yellow"/>
        </w:rPr>
        <w:t xml:space="preserve"> up to 3.00</w:t>
      </w:r>
      <w:r w:rsidR="00D32A9F" w:rsidRPr="00D32A9F">
        <w:rPr>
          <w:highlight w:val="yellow"/>
        </w:rPr>
        <w:t xml:space="preserve"> PM</w:t>
      </w:r>
      <w:r>
        <w:t xml:space="preserve"> </w:t>
      </w:r>
      <w:r w:rsidR="00D32A9F">
        <w:t xml:space="preserve">email to </w:t>
      </w:r>
      <w:r w:rsidR="00D32A9F">
        <w:rPr>
          <w:highlight w:val="yellow"/>
        </w:rPr>
        <w:t>n</w:t>
      </w:r>
      <w:r w:rsidR="00D32A9F" w:rsidRPr="00D32A9F">
        <w:rPr>
          <w:highlight w:val="yellow"/>
        </w:rPr>
        <w:t>arendra.rawal@apmtemrinals.com</w:t>
      </w:r>
      <w:r w:rsidR="00D32A9F">
        <w:t>.</w:t>
      </w:r>
    </w:p>
    <w:p w14:paraId="07B86AB5" w14:textId="77777777" w:rsidR="00D32A9F" w:rsidRDefault="00D32A9F" w:rsidP="00584A4F">
      <w:pPr>
        <w:pStyle w:val="BodyText"/>
        <w:spacing w:line="360" w:lineRule="auto"/>
        <w:ind w:left="720" w:right="360"/>
        <w:jc w:val="both"/>
      </w:pPr>
    </w:p>
    <w:p w14:paraId="0178093A" w14:textId="77777777" w:rsidR="00100A51" w:rsidRDefault="00100A51" w:rsidP="00584A4F">
      <w:pPr>
        <w:pStyle w:val="BodyText"/>
        <w:spacing w:before="48"/>
        <w:jc w:val="both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658"/>
        <w:gridCol w:w="4860"/>
      </w:tblGrid>
      <w:tr w:rsidR="00100A51" w14:paraId="16B1569C" w14:textId="77777777" w:rsidTr="0031211C">
        <w:trPr>
          <w:trHeight w:val="275"/>
        </w:trPr>
        <w:tc>
          <w:tcPr>
            <w:tcW w:w="845" w:type="dxa"/>
          </w:tcPr>
          <w:p w14:paraId="7506A93E" w14:textId="77777777" w:rsidR="00100A51" w:rsidRPr="00D32A9F" w:rsidRDefault="00033F2F" w:rsidP="00584A4F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</w:rPr>
            </w:pPr>
            <w:r w:rsidRPr="00D32A9F">
              <w:rPr>
                <w:b/>
                <w:bCs/>
                <w:sz w:val="24"/>
              </w:rPr>
              <w:t>S.</w:t>
            </w:r>
            <w:r w:rsidRPr="00D32A9F">
              <w:rPr>
                <w:b/>
                <w:bCs/>
                <w:spacing w:val="-3"/>
                <w:sz w:val="24"/>
              </w:rPr>
              <w:t xml:space="preserve"> </w:t>
            </w:r>
            <w:r w:rsidRPr="00D32A9F">
              <w:rPr>
                <w:b/>
                <w:bCs/>
                <w:spacing w:val="-5"/>
                <w:sz w:val="24"/>
              </w:rPr>
              <w:t>No.</w:t>
            </w:r>
          </w:p>
        </w:tc>
        <w:tc>
          <w:tcPr>
            <w:tcW w:w="3658" w:type="dxa"/>
          </w:tcPr>
          <w:p w14:paraId="1B97B20D" w14:textId="77777777" w:rsidR="00100A51" w:rsidRPr="00D32A9F" w:rsidRDefault="00033F2F" w:rsidP="00584A4F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</w:rPr>
            </w:pPr>
            <w:r w:rsidRPr="00D32A9F">
              <w:rPr>
                <w:b/>
                <w:bCs/>
                <w:spacing w:val="-2"/>
                <w:sz w:val="24"/>
              </w:rPr>
              <w:t>Particulars</w:t>
            </w:r>
          </w:p>
        </w:tc>
        <w:tc>
          <w:tcPr>
            <w:tcW w:w="4860" w:type="dxa"/>
          </w:tcPr>
          <w:p w14:paraId="25966BC6" w14:textId="77777777" w:rsidR="00100A51" w:rsidRPr="00D32A9F" w:rsidRDefault="00033F2F" w:rsidP="00584A4F">
            <w:pPr>
              <w:pStyle w:val="TableParagraph"/>
              <w:spacing w:line="256" w:lineRule="exact"/>
              <w:jc w:val="both"/>
              <w:rPr>
                <w:b/>
                <w:bCs/>
                <w:sz w:val="24"/>
              </w:rPr>
            </w:pPr>
            <w:r w:rsidRPr="00D32A9F">
              <w:rPr>
                <w:b/>
                <w:bCs/>
                <w:spacing w:val="-2"/>
                <w:sz w:val="24"/>
              </w:rPr>
              <w:t>Details</w:t>
            </w:r>
          </w:p>
        </w:tc>
      </w:tr>
      <w:tr w:rsidR="00100A51" w14:paraId="1513D5CB" w14:textId="77777777" w:rsidTr="0031211C">
        <w:trPr>
          <w:trHeight w:val="556"/>
        </w:trPr>
        <w:tc>
          <w:tcPr>
            <w:tcW w:w="845" w:type="dxa"/>
            <w:vAlign w:val="center"/>
          </w:tcPr>
          <w:p w14:paraId="2C5463AF" w14:textId="77777777" w:rsidR="00100A51" w:rsidRDefault="00033F2F" w:rsidP="00584A4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58" w:type="dxa"/>
            <w:vAlign w:val="center"/>
          </w:tcPr>
          <w:p w14:paraId="3C80EF37" w14:textId="77777777" w:rsidR="00100A51" w:rsidRDefault="00033F2F" w:rsidP="00584A4F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Firm</w:t>
            </w:r>
          </w:p>
        </w:tc>
        <w:tc>
          <w:tcPr>
            <w:tcW w:w="4860" w:type="dxa"/>
            <w:vAlign w:val="center"/>
          </w:tcPr>
          <w:p w14:paraId="3965E520" w14:textId="77777777" w:rsidR="00100A51" w:rsidRDefault="00100A51" w:rsidP="00584A4F">
            <w:pPr>
              <w:pStyle w:val="TableParagraph"/>
              <w:jc w:val="both"/>
              <w:rPr>
                <w:sz w:val="24"/>
              </w:rPr>
            </w:pPr>
          </w:p>
        </w:tc>
      </w:tr>
      <w:tr w:rsidR="00100A51" w14:paraId="4788B49B" w14:textId="77777777" w:rsidTr="0031211C">
        <w:trPr>
          <w:trHeight w:val="848"/>
        </w:trPr>
        <w:tc>
          <w:tcPr>
            <w:tcW w:w="845" w:type="dxa"/>
            <w:vAlign w:val="center"/>
          </w:tcPr>
          <w:p w14:paraId="34FD8611" w14:textId="77777777" w:rsidR="00100A51" w:rsidRDefault="00033F2F" w:rsidP="00584A4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58" w:type="dxa"/>
            <w:vAlign w:val="center"/>
          </w:tcPr>
          <w:p w14:paraId="7D0D124A" w14:textId="77777777" w:rsidR="00100A51" w:rsidRDefault="00033F2F" w:rsidP="00584A4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 designation &amp; Contact Number</w:t>
            </w:r>
          </w:p>
        </w:tc>
        <w:tc>
          <w:tcPr>
            <w:tcW w:w="4860" w:type="dxa"/>
            <w:vAlign w:val="center"/>
          </w:tcPr>
          <w:p w14:paraId="79839219" w14:textId="77777777" w:rsidR="00100A51" w:rsidRDefault="00100A51" w:rsidP="00584A4F">
            <w:pPr>
              <w:pStyle w:val="TableParagraph"/>
              <w:jc w:val="both"/>
              <w:rPr>
                <w:sz w:val="24"/>
              </w:rPr>
            </w:pPr>
          </w:p>
        </w:tc>
      </w:tr>
      <w:tr w:rsidR="00100A51" w14:paraId="138120A9" w14:textId="77777777" w:rsidTr="0031211C">
        <w:trPr>
          <w:trHeight w:val="563"/>
        </w:trPr>
        <w:tc>
          <w:tcPr>
            <w:tcW w:w="845" w:type="dxa"/>
            <w:vAlign w:val="center"/>
          </w:tcPr>
          <w:p w14:paraId="62856AF5" w14:textId="77777777" w:rsidR="00100A51" w:rsidRDefault="00033F2F" w:rsidP="00584A4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58" w:type="dxa"/>
            <w:vAlign w:val="center"/>
          </w:tcPr>
          <w:p w14:paraId="3365323D" w14:textId="77777777" w:rsidR="00100A51" w:rsidRDefault="00033F2F" w:rsidP="00584A4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860" w:type="dxa"/>
            <w:vAlign w:val="center"/>
          </w:tcPr>
          <w:p w14:paraId="4C4523F4" w14:textId="77777777" w:rsidR="00100A51" w:rsidRDefault="00100A51" w:rsidP="00584A4F">
            <w:pPr>
              <w:pStyle w:val="TableParagraph"/>
              <w:jc w:val="both"/>
              <w:rPr>
                <w:sz w:val="24"/>
              </w:rPr>
            </w:pPr>
          </w:p>
        </w:tc>
      </w:tr>
      <w:tr w:rsidR="00100A51" w14:paraId="2D2FE00F" w14:textId="77777777" w:rsidTr="0031211C">
        <w:trPr>
          <w:trHeight w:val="827"/>
        </w:trPr>
        <w:tc>
          <w:tcPr>
            <w:tcW w:w="845" w:type="dxa"/>
            <w:vAlign w:val="center"/>
          </w:tcPr>
          <w:p w14:paraId="5BCE9EC7" w14:textId="77777777" w:rsidR="00100A51" w:rsidRDefault="00033F2F" w:rsidP="00584A4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58" w:type="dxa"/>
            <w:vAlign w:val="center"/>
          </w:tcPr>
          <w:p w14:paraId="20AE18A7" w14:textId="77777777" w:rsidR="00100A51" w:rsidRDefault="00033F2F" w:rsidP="00584A4F">
            <w:pPr>
              <w:pStyle w:val="TableParagraph"/>
              <w:ind w:left="107" w:right="1663"/>
              <w:jc w:val="both"/>
              <w:rPr>
                <w:sz w:val="24"/>
              </w:rPr>
            </w:pPr>
            <w:r>
              <w:rPr>
                <w:sz w:val="24"/>
              </w:rPr>
              <w:t>PAN Number (Attach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photocopy)</w:t>
            </w:r>
          </w:p>
        </w:tc>
        <w:tc>
          <w:tcPr>
            <w:tcW w:w="4860" w:type="dxa"/>
            <w:vAlign w:val="center"/>
          </w:tcPr>
          <w:p w14:paraId="51F488C5" w14:textId="77777777" w:rsidR="00100A51" w:rsidRDefault="00100A51" w:rsidP="00584A4F">
            <w:pPr>
              <w:pStyle w:val="TableParagraph"/>
              <w:jc w:val="both"/>
              <w:rPr>
                <w:sz w:val="24"/>
              </w:rPr>
            </w:pPr>
          </w:p>
        </w:tc>
      </w:tr>
      <w:tr w:rsidR="00100A51" w14:paraId="4523EC81" w14:textId="77777777" w:rsidTr="0031211C">
        <w:trPr>
          <w:trHeight w:val="827"/>
        </w:trPr>
        <w:tc>
          <w:tcPr>
            <w:tcW w:w="845" w:type="dxa"/>
            <w:vAlign w:val="center"/>
          </w:tcPr>
          <w:p w14:paraId="20B367E8" w14:textId="77777777" w:rsidR="00100A51" w:rsidRDefault="00033F2F" w:rsidP="00584A4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58" w:type="dxa"/>
            <w:vAlign w:val="center"/>
          </w:tcPr>
          <w:p w14:paraId="1DA5FB90" w14:textId="77777777" w:rsidR="00100A51" w:rsidRDefault="00033F2F" w:rsidP="00584A4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14:paraId="03B07358" w14:textId="77777777" w:rsidR="00100A51" w:rsidRDefault="00033F2F" w:rsidP="00584A4F">
            <w:pPr>
              <w:pStyle w:val="TableParagraph"/>
              <w:spacing w:line="270" w:lineRule="atLeas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(enclose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Registration certificate if registered)</w:t>
            </w:r>
          </w:p>
        </w:tc>
        <w:tc>
          <w:tcPr>
            <w:tcW w:w="4860" w:type="dxa"/>
            <w:vAlign w:val="center"/>
          </w:tcPr>
          <w:p w14:paraId="2345BB01" w14:textId="77777777" w:rsidR="00100A51" w:rsidRDefault="00100A51" w:rsidP="00584A4F">
            <w:pPr>
              <w:pStyle w:val="TableParagraph"/>
              <w:jc w:val="both"/>
              <w:rPr>
                <w:sz w:val="24"/>
              </w:rPr>
            </w:pPr>
          </w:p>
        </w:tc>
      </w:tr>
      <w:tr w:rsidR="00100A51" w14:paraId="50CFA921" w14:textId="77777777" w:rsidTr="0031211C">
        <w:trPr>
          <w:trHeight w:val="1148"/>
        </w:trPr>
        <w:tc>
          <w:tcPr>
            <w:tcW w:w="845" w:type="dxa"/>
            <w:vAlign w:val="center"/>
          </w:tcPr>
          <w:p w14:paraId="0E34F439" w14:textId="77777777" w:rsidR="00100A51" w:rsidRDefault="00033F2F" w:rsidP="00584A4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58" w:type="dxa"/>
            <w:vAlign w:val="center"/>
          </w:tcPr>
          <w:p w14:paraId="05C89EEB" w14:textId="20FC68C1" w:rsidR="00D32A9F" w:rsidRDefault="00D32A9F" w:rsidP="00584A4F">
            <w:pPr>
              <w:pStyle w:val="TableParagraph"/>
              <w:ind w:left="107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Offer for Purchase of </w:t>
            </w:r>
            <w:r w:rsidR="00EC2D4E">
              <w:rPr>
                <w:b/>
                <w:sz w:val="24"/>
              </w:rPr>
              <w:t>Ab</w:t>
            </w:r>
            <w:r w:rsidR="007A6730">
              <w:rPr>
                <w:b/>
                <w:sz w:val="24"/>
              </w:rPr>
              <w:t xml:space="preserve">andoned </w:t>
            </w:r>
            <w:r>
              <w:rPr>
                <w:b/>
                <w:sz w:val="24"/>
              </w:rPr>
              <w:t>Containerised Office located in BOD area</w:t>
            </w:r>
          </w:p>
        </w:tc>
        <w:tc>
          <w:tcPr>
            <w:tcW w:w="4860" w:type="dxa"/>
            <w:vAlign w:val="center"/>
          </w:tcPr>
          <w:p w14:paraId="2C0D1AD0" w14:textId="77777777" w:rsidR="00100A51" w:rsidRDefault="0086116C" w:rsidP="00584A4F">
            <w:pPr>
              <w:pStyle w:val="TableParagraph"/>
              <w:tabs>
                <w:tab w:val="left" w:pos="3608"/>
                <w:tab w:val="left" w:pos="3675"/>
              </w:tabs>
              <w:spacing w:line="270" w:lineRule="atLeast"/>
              <w:ind w:left="104" w:right="1172"/>
              <w:jc w:val="both"/>
              <w:rPr>
                <w:sz w:val="24"/>
              </w:rPr>
            </w:pPr>
            <w:r>
              <w:rPr>
                <w:sz w:val="24"/>
              </w:rPr>
              <w:t>Rs</w:t>
            </w:r>
            <w:r w:rsidR="00584A4F">
              <w:rPr>
                <w:sz w:val="24"/>
              </w:rPr>
              <w:t>……………… + GST</w:t>
            </w:r>
          </w:p>
          <w:p w14:paraId="57D2E608" w14:textId="5E751C2D" w:rsidR="00584A4F" w:rsidRDefault="00584A4F" w:rsidP="00584A4F">
            <w:pPr>
              <w:pStyle w:val="TableParagraph"/>
              <w:tabs>
                <w:tab w:val="left" w:pos="3608"/>
                <w:tab w:val="left" w:pos="3675"/>
              </w:tabs>
              <w:spacing w:line="270" w:lineRule="atLeast"/>
              <w:ind w:left="104" w:right="1172"/>
              <w:jc w:val="both"/>
              <w:rPr>
                <w:sz w:val="24"/>
              </w:rPr>
            </w:pPr>
            <w:r>
              <w:rPr>
                <w:sz w:val="24"/>
              </w:rPr>
              <w:t>(Rupees……………………</w:t>
            </w:r>
          </w:p>
        </w:tc>
      </w:tr>
    </w:tbl>
    <w:p w14:paraId="49984A3A" w14:textId="77777777" w:rsidR="00100A51" w:rsidRDefault="00100A51" w:rsidP="00584A4F">
      <w:pPr>
        <w:pStyle w:val="BodyText"/>
        <w:jc w:val="both"/>
        <w:rPr>
          <w:b/>
          <w:sz w:val="29"/>
        </w:rPr>
      </w:pPr>
    </w:p>
    <w:p w14:paraId="72647AD8" w14:textId="77777777" w:rsidR="00100A51" w:rsidRDefault="00100A51" w:rsidP="00584A4F">
      <w:pPr>
        <w:pStyle w:val="BodyText"/>
        <w:jc w:val="both"/>
        <w:rPr>
          <w:b/>
          <w:sz w:val="29"/>
        </w:rPr>
      </w:pPr>
    </w:p>
    <w:p w14:paraId="13C9A044" w14:textId="77777777" w:rsidR="00100A51" w:rsidRDefault="00100A51" w:rsidP="00584A4F">
      <w:pPr>
        <w:pStyle w:val="BodyText"/>
        <w:jc w:val="both"/>
        <w:rPr>
          <w:b/>
          <w:sz w:val="29"/>
        </w:rPr>
      </w:pPr>
    </w:p>
    <w:p w14:paraId="3916047B" w14:textId="77777777" w:rsidR="00100A51" w:rsidRDefault="00100A51" w:rsidP="00584A4F">
      <w:pPr>
        <w:pStyle w:val="BodyText"/>
        <w:spacing w:before="42"/>
        <w:jc w:val="both"/>
        <w:rPr>
          <w:b/>
          <w:sz w:val="29"/>
        </w:rPr>
      </w:pPr>
    </w:p>
    <w:p w14:paraId="1CB6A9DE" w14:textId="77777777" w:rsidR="00100A51" w:rsidRDefault="00033F2F" w:rsidP="00584A4F">
      <w:pPr>
        <w:pStyle w:val="BodyText"/>
        <w:ind w:right="363"/>
        <w:jc w:val="both"/>
      </w:pPr>
      <w:r>
        <w:t>Seal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tenderer</w:t>
      </w:r>
    </w:p>
    <w:p w14:paraId="269F728E" w14:textId="77777777" w:rsidR="00100A51" w:rsidRDefault="00100A51" w:rsidP="00584A4F">
      <w:pPr>
        <w:pStyle w:val="BodyText"/>
        <w:jc w:val="both"/>
        <w:sectPr w:rsidR="00100A51" w:rsidSect="0031211C">
          <w:pgSz w:w="12240" w:h="15840"/>
          <w:pgMar w:top="1280" w:right="1080" w:bottom="280" w:left="1418" w:header="720" w:footer="720" w:gutter="0"/>
          <w:cols w:space="720"/>
        </w:sectPr>
      </w:pPr>
    </w:p>
    <w:p w14:paraId="08ACA738" w14:textId="57BD9BF9" w:rsidR="00100A51" w:rsidRDefault="00C17519" w:rsidP="00584A4F">
      <w:pPr>
        <w:pStyle w:val="BodyText"/>
        <w:spacing w:before="76"/>
        <w:ind w:left="356"/>
        <w:jc w:val="center"/>
        <w:rPr>
          <w:b/>
        </w:rPr>
      </w:pPr>
      <w:r>
        <w:rPr>
          <w:b/>
          <w:u w:val="single"/>
        </w:rPr>
        <w:lastRenderedPageBreak/>
        <w:t>TERMS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CONDITIONS:</w:t>
      </w:r>
    </w:p>
    <w:p w14:paraId="6297D15B" w14:textId="77777777" w:rsidR="00100A51" w:rsidRDefault="00100A51" w:rsidP="00584A4F">
      <w:pPr>
        <w:pStyle w:val="BodyText"/>
        <w:spacing w:before="84"/>
        <w:jc w:val="both"/>
        <w:rPr>
          <w:b/>
        </w:rPr>
      </w:pPr>
    </w:p>
    <w:p w14:paraId="730F9CEB" w14:textId="77777777" w:rsidR="00100A51" w:rsidRDefault="00033F2F" w:rsidP="00584A4F">
      <w:pPr>
        <w:pStyle w:val="ListParagraph"/>
        <w:numPr>
          <w:ilvl w:val="0"/>
          <w:numId w:val="1"/>
        </w:numPr>
        <w:tabs>
          <w:tab w:val="left" w:pos="1350"/>
        </w:tabs>
        <w:ind w:left="1075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quoted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exclusive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taxes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any.</w:t>
      </w:r>
    </w:p>
    <w:p w14:paraId="3903D916" w14:textId="77777777" w:rsidR="00100A51" w:rsidRDefault="00100A51" w:rsidP="00584A4F">
      <w:pPr>
        <w:pStyle w:val="BodyText"/>
        <w:jc w:val="both"/>
      </w:pPr>
    </w:p>
    <w:p w14:paraId="13BF12FA" w14:textId="380DC4C1" w:rsidR="00100A51" w:rsidRDefault="00033F2F" w:rsidP="00584A4F">
      <w:pPr>
        <w:pStyle w:val="ListParagraph"/>
        <w:numPr>
          <w:ilvl w:val="0"/>
          <w:numId w:val="1"/>
        </w:numPr>
        <w:tabs>
          <w:tab w:val="left" w:pos="1351"/>
          <w:tab w:val="left" w:pos="1410"/>
        </w:tabs>
        <w:ind w:left="1076" w:right="-50"/>
        <w:jc w:val="both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sale is “</w:t>
      </w:r>
      <w:r w:rsidRPr="00507509">
        <w:rPr>
          <w:b/>
          <w:bCs/>
          <w:sz w:val="24"/>
        </w:rPr>
        <w:t>as is where is basis</w:t>
      </w:r>
      <w:r>
        <w:rPr>
          <w:sz w:val="24"/>
        </w:rPr>
        <w:t xml:space="preserve">” and the highest bidder has to make payment and take </w:t>
      </w:r>
      <w:r w:rsidR="00507509">
        <w:rPr>
          <w:sz w:val="24"/>
        </w:rPr>
        <w:t xml:space="preserve">existing </w:t>
      </w:r>
      <w:r w:rsidR="007A6730">
        <w:rPr>
          <w:sz w:val="24"/>
        </w:rPr>
        <w:t xml:space="preserve">abandoned </w:t>
      </w:r>
      <w:r w:rsidR="00507509">
        <w:rPr>
          <w:sz w:val="24"/>
        </w:rPr>
        <w:t>containerized office</w:t>
      </w:r>
      <w:r>
        <w:rPr>
          <w:sz w:val="24"/>
        </w:rPr>
        <w:t xml:space="preserve"> immediately without any rejection. All the items are available for inspection during the working hours from Monday to Friday at </w:t>
      </w:r>
      <w:r w:rsidR="00C17519">
        <w:rPr>
          <w:sz w:val="24"/>
        </w:rPr>
        <w:t>Pipavav Port.</w:t>
      </w:r>
    </w:p>
    <w:p w14:paraId="2447C741" w14:textId="77777777" w:rsidR="00100A51" w:rsidRDefault="00100A51" w:rsidP="00584A4F">
      <w:pPr>
        <w:pStyle w:val="BodyText"/>
        <w:jc w:val="both"/>
      </w:pPr>
    </w:p>
    <w:p w14:paraId="2A748339" w14:textId="77777777" w:rsidR="00584A4F" w:rsidRDefault="00033F2F" w:rsidP="00584A4F">
      <w:pPr>
        <w:pStyle w:val="ListParagraph"/>
        <w:numPr>
          <w:ilvl w:val="0"/>
          <w:numId w:val="1"/>
        </w:numPr>
        <w:tabs>
          <w:tab w:val="left" w:pos="1351"/>
        </w:tabs>
        <w:spacing w:line="276" w:lineRule="auto"/>
        <w:ind w:left="1076" w:right="-50"/>
        <w:jc w:val="both"/>
        <w:rPr>
          <w:sz w:val="24"/>
        </w:rPr>
      </w:pPr>
      <w:r>
        <w:rPr>
          <w:sz w:val="24"/>
        </w:rPr>
        <w:t>Bidders should inspect &amp; satisfy themselves regarding quantity &amp; quality and condition of items before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in auction</w:t>
      </w:r>
      <w:r>
        <w:rPr>
          <w:spacing w:val="40"/>
          <w:sz w:val="24"/>
        </w:rPr>
        <w:t xml:space="preserve"> </w:t>
      </w:r>
      <w:r>
        <w:rPr>
          <w:sz w:val="24"/>
        </w:rPr>
        <w:t>in every</w:t>
      </w:r>
      <w:r>
        <w:rPr>
          <w:spacing w:val="-1"/>
          <w:sz w:val="24"/>
        </w:rPr>
        <w:t xml:space="preserve"> </w:t>
      </w:r>
      <w:r>
        <w:rPr>
          <w:sz w:val="24"/>
        </w:rPr>
        <w:t>manner. No complaint or dispute of any kind shall be entertained from their participation once the tenders are opened</w:t>
      </w:r>
      <w:r>
        <w:rPr>
          <w:spacing w:val="40"/>
          <w:sz w:val="24"/>
        </w:rPr>
        <w:t xml:space="preserve"> </w:t>
      </w:r>
      <w:r>
        <w:rPr>
          <w:sz w:val="24"/>
        </w:rPr>
        <w:t>and the Buyer shall not be allowed to withdraw.</w:t>
      </w:r>
    </w:p>
    <w:p w14:paraId="52DAF39A" w14:textId="77777777" w:rsidR="00584A4F" w:rsidRPr="00584A4F" w:rsidRDefault="00584A4F" w:rsidP="00584A4F">
      <w:pPr>
        <w:pStyle w:val="ListParagraph"/>
        <w:rPr>
          <w:sz w:val="24"/>
        </w:rPr>
      </w:pPr>
    </w:p>
    <w:p w14:paraId="25A184C2" w14:textId="61B0E767" w:rsidR="007A6730" w:rsidRPr="00584A4F" w:rsidRDefault="00033F2F" w:rsidP="00584A4F">
      <w:pPr>
        <w:pStyle w:val="ListParagraph"/>
        <w:numPr>
          <w:ilvl w:val="0"/>
          <w:numId w:val="1"/>
        </w:numPr>
        <w:tabs>
          <w:tab w:val="left" w:pos="1351"/>
        </w:tabs>
        <w:spacing w:line="276" w:lineRule="auto"/>
        <w:ind w:left="1076" w:right="-50"/>
        <w:jc w:val="both"/>
        <w:rPr>
          <w:sz w:val="24"/>
        </w:rPr>
      </w:pPr>
      <w:r w:rsidRPr="00584A4F">
        <w:rPr>
          <w:sz w:val="24"/>
        </w:rPr>
        <w:t xml:space="preserve">The </w:t>
      </w:r>
      <w:r w:rsidR="00C17519" w:rsidRPr="00584A4F">
        <w:rPr>
          <w:sz w:val="24"/>
        </w:rPr>
        <w:t xml:space="preserve">successful </w:t>
      </w:r>
      <w:r w:rsidRPr="00584A4F">
        <w:rPr>
          <w:sz w:val="24"/>
        </w:rPr>
        <w:t xml:space="preserve">bidder shall </w:t>
      </w:r>
      <w:r w:rsidR="007A6730" w:rsidRPr="00584A4F">
        <w:rPr>
          <w:sz w:val="24"/>
        </w:rPr>
        <w:t xml:space="preserve">submit full payment within </w:t>
      </w:r>
      <w:r w:rsidR="00584A4F">
        <w:rPr>
          <w:sz w:val="24"/>
        </w:rPr>
        <w:t>15</w:t>
      </w:r>
      <w:r w:rsidR="007A6730" w:rsidRPr="00584A4F">
        <w:rPr>
          <w:sz w:val="24"/>
        </w:rPr>
        <w:t xml:space="preserve"> days from the date of confirmation of order</w:t>
      </w:r>
      <w:r w:rsidR="00584A4F" w:rsidRPr="00584A4F">
        <w:rPr>
          <w:sz w:val="24"/>
        </w:rPr>
        <w:t xml:space="preserve"> by APM Terminal Pipavav</w:t>
      </w:r>
      <w:r w:rsidR="007A6730" w:rsidRPr="00584A4F">
        <w:rPr>
          <w:sz w:val="24"/>
        </w:rPr>
        <w:t xml:space="preserve">. After the full payment, bidder </w:t>
      </w:r>
      <w:r w:rsidR="00584A4F" w:rsidRPr="00584A4F">
        <w:rPr>
          <w:sz w:val="24"/>
        </w:rPr>
        <w:t>will have to take out the said Containerised office within 15 days from site. If this is not done in time, GPPL will levy charge Rs 5000 per day basis.</w:t>
      </w:r>
    </w:p>
    <w:p w14:paraId="79BFB79D" w14:textId="6078A981" w:rsidR="00C17519" w:rsidRDefault="00C17519" w:rsidP="00584A4F">
      <w:pPr>
        <w:pStyle w:val="ListParagraph"/>
        <w:numPr>
          <w:ilvl w:val="0"/>
          <w:numId w:val="1"/>
        </w:numPr>
        <w:tabs>
          <w:tab w:val="left" w:pos="1351"/>
        </w:tabs>
        <w:spacing w:before="207" w:line="276" w:lineRule="auto"/>
        <w:ind w:left="1076" w:right="-50"/>
        <w:jc w:val="both"/>
        <w:rPr>
          <w:sz w:val="24"/>
        </w:rPr>
      </w:pPr>
      <w:r>
        <w:rPr>
          <w:sz w:val="24"/>
        </w:rPr>
        <w:t xml:space="preserve">During the dismantling, loading activities, the successful vender shall strictly follow up </w:t>
      </w:r>
      <w:r w:rsidR="00D53472">
        <w:rPr>
          <w:sz w:val="24"/>
        </w:rPr>
        <w:t xml:space="preserve">APM Terminals Pipavav </w:t>
      </w:r>
      <w:r>
        <w:rPr>
          <w:sz w:val="24"/>
        </w:rPr>
        <w:t>Safety guidelines and Port security rules.</w:t>
      </w:r>
    </w:p>
    <w:p w14:paraId="7F640B2A" w14:textId="5AEE54CE" w:rsidR="00C17519" w:rsidRDefault="00C17519" w:rsidP="00584A4F">
      <w:pPr>
        <w:pStyle w:val="ListParagraph"/>
        <w:numPr>
          <w:ilvl w:val="0"/>
          <w:numId w:val="1"/>
        </w:numPr>
        <w:tabs>
          <w:tab w:val="left" w:pos="1351"/>
        </w:tabs>
        <w:spacing w:before="207" w:line="276" w:lineRule="auto"/>
        <w:ind w:left="1076" w:right="-50"/>
        <w:jc w:val="both"/>
        <w:rPr>
          <w:sz w:val="24"/>
        </w:rPr>
      </w:pPr>
      <w:r>
        <w:rPr>
          <w:sz w:val="24"/>
        </w:rPr>
        <w:t>If required any permission from local OR state government shall be responsible for successful bidder</w:t>
      </w:r>
      <w:r w:rsidR="00ED7D01">
        <w:rPr>
          <w:sz w:val="24"/>
        </w:rPr>
        <w:t xml:space="preserve"> and cost shall be borne by bidder.</w:t>
      </w:r>
    </w:p>
    <w:p w14:paraId="272F821B" w14:textId="6ABE4896" w:rsidR="00100A51" w:rsidRPr="00C17519" w:rsidRDefault="00EC2D4E" w:rsidP="00584A4F">
      <w:pPr>
        <w:pStyle w:val="ListParagraph"/>
        <w:numPr>
          <w:ilvl w:val="0"/>
          <w:numId w:val="1"/>
        </w:numPr>
        <w:tabs>
          <w:tab w:val="left" w:pos="1351"/>
        </w:tabs>
        <w:spacing w:before="238" w:line="276" w:lineRule="auto"/>
        <w:ind w:left="1076" w:right="-50"/>
        <w:jc w:val="both"/>
        <w:rPr>
          <w:bCs/>
          <w:sz w:val="24"/>
        </w:rPr>
      </w:pPr>
      <w:r>
        <w:rPr>
          <w:bCs/>
          <w:sz w:val="24"/>
        </w:rPr>
        <w:t>A</w:t>
      </w:r>
      <w:r w:rsidRPr="00C17519">
        <w:rPr>
          <w:bCs/>
          <w:sz w:val="24"/>
        </w:rPr>
        <w:t xml:space="preserve">ll expenses such as </w:t>
      </w:r>
      <w:r w:rsidR="006F22CA">
        <w:rPr>
          <w:bCs/>
          <w:sz w:val="24"/>
        </w:rPr>
        <w:t xml:space="preserve">dismantling, equipments, tools &amp; tackles, stacking &amp; </w:t>
      </w:r>
      <w:r w:rsidRPr="00C17519">
        <w:rPr>
          <w:bCs/>
          <w:sz w:val="24"/>
        </w:rPr>
        <w:t>de</w:t>
      </w:r>
      <w:r w:rsidR="00C17519">
        <w:rPr>
          <w:bCs/>
          <w:sz w:val="24"/>
        </w:rPr>
        <w:t>-</w:t>
      </w:r>
      <w:r w:rsidRPr="00C17519">
        <w:rPr>
          <w:bCs/>
          <w:sz w:val="24"/>
        </w:rPr>
        <w:t xml:space="preserve">stacking, </w:t>
      </w:r>
      <w:r w:rsidR="00ED7D01">
        <w:rPr>
          <w:bCs/>
          <w:sz w:val="24"/>
        </w:rPr>
        <w:t>transportation,</w:t>
      </w:r>
      <w:r w:rsidRPr="00C17519">
        <w:rPr>
          <w:bCs/>
          <w:sz w:val="24"/>
        </w:rPr>
        <w:t xml:space="preserve"> loading</w:t>
      </w:r>
      <w:r>
        <w:rPr>
          <w:bCs/>
          <w:sz w:val="24"/>
        </w:rPr>
        <w:t xml:space="preserve">, unloading, consumable, electricity, </w:t>
      </w:r>
      <w:r w:rsidR="006F22CA">
        <w:rPr>
          <w:bCs/>
          <w:sz w:val="24"/>
        </w:rPr>
        <w:t>Personne</w:t>
      </w:r>
      <w:r w:rsidR="005966A2">
        <w:rPr>
          <w:bCs/>
          <w:sz w:val="24"/>
        </w:rPr>
        <w:t xml:space="preserve">l protective equipments form manpower, Manpower, </w:t>
      </w:r>
      <w:r>
        <w:rPr>
          <w:bCs/>
          <w:sz w:val="24"/>
        </w:rPr>
        <w:t xml:space="preserve">Insurance etc </w:t>
      </w:r>
      <w:r w:rsidRPr="00C17519">
        <w:rPr>
          <w:bCs/>
          <w:sz w:val="24"/>
        </w:rPr>
        <w:t>and any other expenses shall be borne by the buyer</w:t>
      </w:r>
      <w:r>
        <w:rPr>
          <w:bCs/>
          <w:sz w:val="24"/>
        </w:rPr>
        <w:t xml:space="preserve">.  </w:t>
      </w:r>
    </w:p>
    <w:p w14:paraId="2B4E2600" w14:textId="2954F2F3" w:rsidR="00EC2D4E" w:rsidRDefault="00EC2D4E" w:rsidP="00584A4F">
      <w:pPr>
        <w:pStyle w:val="ListParagraph"/>
        <w:numPr>
          <w:ilvl w:val="0"/>
          <w:numId w:val="1"/>
        </w:numPr>
        <w:tabs>
          <w:tab w:val="left" w:pos="1350"/>
        </w:tabs>
        <w:spacing w:before="179"/>
        <w:ind w:left="1075" w:hanging="359"/>
        <w:jc w:val="both"/>
        <w:rPr>
          <w:sz w:val="24"/>
        </w:rPr>
      </w:pPr>
      <w:r>
        <w:rPr>
          <w:sz w:val="24"/>
        </w:rPr>
        <w:t xml:space="preserve">After the takeout Containerised office, the area shall be </w:t>
      </w:r>
      <w:r w:rsidR="00BC54D2">
        <w:rPr>
          <w:sz w:val="24"/>
        </w:rPr>
        <w:t xml:space="preserve">proper level, </w:t>
      </w:r>
      <w:r>
        <w:rPr>
          <w:sz w:val="24"/>
        </w:rPr>
        <w:t xml:space="preserve">clean and hand over to </w:t>
      </w:r>
      <w:r w:rsidR="00BC54D2">
        <w:rPr>
          <w:sz w:val="24"/>
        </w:rPr>
        <w:t>APM Terminals Pipavav.</w:t>
      </w:r>
    </w:p>
    <w:p w14:paraId="22693A88" w14:textId="1B7E039E" w:rsidR="00EC2D4E" w:rsidRDefault="00525CE8" w:rsidP="00584A4F">
      <w:pPr>
        <w:pStyle w:val="ListParagraph"/>
        <w:numPr>
          <w:ilvl w:val="0"/>
          <w:numId w:val="1"/>
        </w:numPr>
        <w:tabs>
          <w:tab w:val="left" w:pos="1350"/>
        </w:tabs>
        <w:spacing w:before="179"/>
        <w:ind w:left="1075" w:hanging="359"/>
        <w:jc w:val="both"/>
        <w:rPr>
          <w:sz w:val="24"/>
        </w:rPr>
      </w:pPr>
      <w:r>
        <w:rPr>
          <w:sz w:val="24"/>
        </w:rPr>
        <w:t>if any Assets of APM Terminals Pipavav will be damage du</w:t>
      </w:r>
      <w:r w:rsidR="00EC2D4E">
        <w:rPr>
          <w:sz w:val="24"/>
        </w:rPr>
        <w:t xml:space="preserve">ring the </w:t>
      </w:r>
      <w:r w:rsidR="0091140E">
        <w:rPr>
          <w:sz w:val="24"/>
        </w:rPr>
        <w:t xml:space="preserve">dismantling, loading, unloading, </w:t>
      </w:r>
      <w:r w:rsidR="00EC2D4E">
        <w:rPr>
          <w:sz w:val="24"/>
        </w:rPr>
        <w:t xml:space="preserve">taking out of containerized office activities, the cost of said damage repairs into as original conditions shall be borne by </w:t>
      </w:r>
      <w:r w:rsidR="00AC0984">
        <w:rPr>
          <w:sz w:val="24"/>
        </w:rPr>
        <w:t>V</w:t>
      </w:r>
      <w:r w:rsidR="00EC2D4E">
        <w:rPr>
          <w:sz w:val="24"/>
        </w:rPr>
        <w:t>ender.</w:t>
      </w:r>
    </w:p>
    <w:p w14:paraId="0809CA95" w14:textId="77777777" w:rsidR="00C17519" w:rsidRDefault="00C17519" w:rsidP="00584A4F">
      <w:pPr>
        <w:pStyle w:val="ListParagraph"/>
        <w:tabs>
          <w:tab w:val="left" w:pos="1351"/>
        </w:tabs>
        <w:spacing w:line="268" w:lineRule="auto"/>
        <w:ind w:left="1076" w:right="385" w:firstLine="0"/>
        <w:rPr>
          <w:sz w:val="24"/>
        </w:rPr>
      </w:pPr>
    </w:p>
    <w:p w14:paraId="056FB3E0" w14:textId="0DFB0258" w:rsidR="00100A51" w:rsidRDefault="00033F2F" w:rsidP="00584A4F">
      <w:pPr>
        <w:pStyle w:val="ListParagraph"/>
        <w:numPr>
          <w:ilvl w:val="0"/>
          <w:numId w:val="1"/>
        </w:numPr>
        <w:tabs>
          <w:tab w:val="left" w:pos="1351"/>
        </w:tabs>
        <w:spacing w:line="268" w:lineRule="auto"/>
        <w:ind w:left="1076" w:right="385"/>
        <w:jc w:val="both"/>
        <w:rPr>
          <w:sz w:val="24"/>
        </w:rPr>
      </w:pPr>
      <w:r>
        <w:rPr>
          <w:sz w:val="24"/>
        </w:rPr>
        <w:t xml:space="preserve">The </w:t>
      </w:r>
      <w:r w:rsidR="00AC0984">
        <w:rPr>
          <w:sz w:val="24"/>
        </w:rPr>
        <w:t xml:space="preserve">APM Terminals Pipavav </w:t>
      </w:r>
      <w:r w:rsidR="00C17519">
        <w:rPr>
          <w:sz w:val="24"/>
        </w:rPr>
        <w:t xml:space="preserve">shall </w:t>
      </w:r>
      <w:r>
        <w:rPr>
          <w:sz w:val="24"/>
        </w:rPr>
        <w:t xml:space="preserve">reserves its right to accept/reject </w:t>
      </w:r>
      <w:r w:rsidR="00C17519">
        <w:rPr>
          <w:sz w:val="24"/>
        </w:rPr>
        <w:t xml:space="preserve">the submitted </w:t>
      </w:r>
      <w:r>
        <w:rPr>
          <w:sz w:val="24"/>
        </w:rPr>
        <w:t>any tende</w:t>
      </w:r>
      <w:r w:rsidR="00C17519">
        <w:rPr>
          <w:sz w:val="24"/>
        </w:rPr>
        <w:t>r/offer without any</w:t>
      </w:r>
      <w:r>
        <w:rPr>
          <w:sz w:val="24"/>
        </w:rPr>
        <w:t xml:space="preserve"> reason.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decision of the </w:t>
      </w:r>
      <w:r w:rsidR="00C17519">
        <w:rPr>
          <w:sz w:val="24"/>
        </w:rPr>
        <w:t>GPPL</w:t>
      </w:r>
      <w:r>
        <w:rPr>
          <w:sz w:val="24"/>
        </w:rPr>
        <w:t xml:space="preserve"> in this respect shall be final and binding on the buyer.</w:t>
      </w:r>
    </w:p>
    <w:p w14:paraId="29543AC5" w14:textId="77777777" w:rsidR="00100A51" w:rsidRDefault="00100A51" w:rsidP="00584A4F">
      <w:pPr>
        <w:pStyle w:val="BodyText"/>
        <w:spacing w:before="3"/>
        <w:jc w:val="both"/>
      </w:pPr>
    </w:p>
    <w:p w14:paraId="1F5F595B" w14:textId="7D5D0453" w:rsidR="00100A51" w:rsidRDefault="00033F2F" w:rsidP="00584A4F">
      <w:pPr>
        <w:pStyle w:val="ListParagraph"/>
        <w:numPr>
          <w:ilvl w:val="0"/>
          <w:numId w:val="1"/>
        </w:numPr>
        <w:tabs>
          <w:tab w:val="left" w:pos="1350"/>
        </w:tabs>
        <w:spacing w:before="1"/>
        <w:ind w:left="1075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C17519">
        <w:rPr>
          <w:spacing w:val="-3"/>
          <w:sz w:val="24"/>
        </w:rPr>
        <w:t xml:space="preserve">Amreli </w:t>
      </w:r>
      <w:r>
        <w:rPr>
          <w:sz w:val="24"/>
        </w:rPr>
        <w:t>jurisdiction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only.</w:t>
      </w:r>
    </w:p>
    <w:p w14:paraId="27F3BDF8" w14:textId="77777777" w:rsidR="00100A51" w:rsidRDefault="00100A51" w:rsidP="00584A4F">
      <w:pPr>
        <w:pStyle w:val="BodyText"/>
        <w:jc w:val="both"/>
      </w:pPr>
    </w:p>
    <w:p w14:paraId="4CCB98A0" w14:textId="77777777" w:rsidR="00100A51" w:rsidRDefault="00100A51" w:rsidP="00584A4F">
      <w:pPr>
        <w:pStyle w:val="BodyText"/>
        <w:jc w:val="both"/>
      </w:pPr>
    </w:p>
    <w:p w14:paraId="39AB218B" w14:textId="77777777" w:rsidR="00100A51" w:rsidRDefault="00100A51" w:rsidP="00584A4F">
      <w:pPr>
        <w:pStyle w:val="BodyText"/>
        <w:jc w:val="both"/>
      </w:pPr>
    </w:p>
    <w:p w14:paraId="7532AF27" w14:textId="77777777" w:rsidR="00100A51" w:rsidRDefault="00100A51" w:rsidP="00584A4F">
      <w:pPr>
        <w:pStyle w:val="BodyText"/>
        <w:jc w:val="both"/>
      </w:pPr>
    </w:p>
    <w:p w14:paraId="34766D52" w14:textId="77777777" w:rsidR="00100A51" w:rsidRDefault="00100A51" w:rsidP="00584A4F">
      <w:pPr>
        <w:pStyle w:val="BodyText"/>
        <w:jc w:val="both"/>
      </w:pPr>
    </w:p>
    <w:p w14:paraId="3E4CA9E5" w14:textId="77777777" w:rsidR="00100A51" w:rsidRDefault="00100A51" w:rsidP="00584A4F">
      <w:pPr>
        <w:pStyle w:val="BodyText"/>
        <w:spacing w:before="38"/>
        <w:jc w:val="both"/>
      </w:pPr>
    </w:p>
    <w:p w14:paraId="2BB18470" w14:textId="694E93E8" w:rsidR="00EC2D4E" w:rsidRPr="00AC0984" w:rsidRDefault="00EC2D4E" w:rsidP="0028798E">
      <w:pPr>
        <w:jc w:val="center"/>
        <w:rPr>
          <w:b/>
          <w:bCs/>
          <w:sz w:val="40"/>
          <w:szCs w:val="40"/>
        </w:rPr>
      </w:pPr>
      <w:r>
        <w:br w:type="page"/>
      </w:r>
      <w:r w:rsidR="00AC0984" w:rsidRPr="00AC0984">
        <w:rPr>
          <w:b/>
          <w:bCs/>
          <w:sz w:val="36"/>
          <w:szCs w:val="36"/>
        </w:rPr>
        <w:lastRenderedPageBreak/>
        <w:t>EXISITN</w:t>
      </w:r>
      <w:r w:rsidR="0028798E">
        <w:rPr>
          <w:b/>
          <w:bCs/>
          <w:sz w:val="36"/>
          <w:szCs w:val="36"/>
        </w:rPr>
        <w:t>G ABANDONED</w:t>
      </w:r>
      <w:r w:rsidR="0028798E" w:rsidRPr="00AC0984">
        <w:rPr>
          <w:b/>
          <w:bCs/>
          <w:sz w:val="36"/>
          <w:szCs w:val="36"/>
        </w:rPr>
        <w:t xml:space="preserve"> </w:t>
      </w:r>
      <w:r w:rsidR="00AC0984" w:rsidRPr="00AC0984">
        <w:rPr>
          <w:b/>
          <w:bCs/>
          <w:sz w:val="36"/>
          <w:szCs w:val="36"/>
        </w:rPr>
        <w:t xml:space="preserve">CONTAINERISED OFFICE </w:t>
      </w:r>
      <w:r w:rsidR="0028798E" w:rsidRPr="00AC098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23936" behindDoc="1" locked="0" layoutInCell="1" allowOverlap="1" wp14:anchorId="43938EE0" wp14:editId="258CDB7C">
            <wp:simplePos x="0" y="0"/>
            <wp:positionH relativeFrom="column">
              <wp:posOffset>-58420</wp:posOffset>
            </wp:positionH>
            <wp:positionV relativeFrom="paragraph">
              <wp:posOffset>3854450</wp:posOffset>
            </wp:positionV>
            <wp:extent cx="3327400" cy="2511425"/>
            <wp:effectExtent l="0" t="0" r="6350" b="3175"/>
            <wp:wrapTight wrapText="bothSides">
              <wp:wrapPolygon edited="0">
                <wp:start x="0" y="0"/>
                <wp:lineTo x="0" y="21463"/>
                <wp:lineTo x="21518" y="21463"/>
                <wp:lineTo x="21518" y="0"/>
                <wp:lineTo x="0" y="0"/>
              </wp:wrapPolygon>
            </wp:wrapTight>
            <wp:docPr id="2059676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76681" name="Picture 2059676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98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887104" behindDoc="1" locked="0" layoutInCell="1" allowOverlap="1" wp14:anchorId="158418CB" wp14:editId="059B37BB">
            <wp:simplePos x="0" y="0"/>
            <wp:positionH relativeFrom="column">
              <wp:posOffset>3390900</wp:posOffset>
            </wp:positionH>
            <wp:positionV relativeFrom="paragraph">
              <wp:posOffset>3854450</wp:posOffset>
            </wp:positionV>
            <wp:extent cx="3601720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478" y="21463"/>
                <wp:lineTo x="21478" y="0"/>
                <wp:lineTo x="0" y="0"/>
              </wp:wrapPolygon>
            </wp:wrapTight>
            <wp:docPr id="4944214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21446" name="Picture 4944214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98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22240" behindDoc="1" locked="0" layoutInCell="1" allowOverlap="1" wp14:anchorId="569AD584" wp14:editId="0FB749E9">
            <wp:simplePos x="0" y="0"/>
            <wp:positionH relativeFrom="column">
              <wp:posOffset>3390900</wp:posOffset>
            </wp:positionH>
            <wp:positionV relativeFrom="paragraph">
              <wp:posOffset>833755</wp:posOffset>
            </wp:positionV>
            <wp:extent cx="3601720" cy="2774950"/>
            <wp:effectExtent l="0" t="0" r="0" b="6350"/>
            <wp:wrapTight wrapText="bothSides">
              <wp:wrapPolygon edited="0">
                <wp:start x="0" y="0"/>
                <wp:lineTo x="0" y="21501"/>
                <wp:lineTo x="21478" y="21501"/>
                <wp:lineTo x="21478" y="0"/>
                <wp:lineTo x="0" y="0"/>
              </wp:wrapPolygon>
            </wp:wrapTight>
            <wp:docPr id="63257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7622" name="Picture 632576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98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800064" behindDoc="1" locked="0" layoutInCell="1" allowOverlap="1" wp14:anchorId="6C6AA30F" wp14:editId="0AB653BE">
            <wp:simplePos x="0" y="0"/>
            <wp:positionH relativeFrom="column">
              <wp:posOffset>-12065</wp:posOffset>
            </wp:positionH>
            <wp:positionV relativeFrom="paragraph">
              <wp:posOffset>833884</wp:posOffset>
            </wp:positionV>
            <wp:extent cx="3279775" cy="2774950"/>
            <wp:effectExtent l="0" t="0" r="0" b="6350"/>
            <wp:wrapTight wrapText="bothSides">
              <wp:wrapPolygon edited="0">
                <wp:start x="0" y="0"/>
                <wp:lineTo x="0" y="21501"/>
                <wp:lineTo x="21454" y="21501"/>
                <wp:lineTo x="21454" y="0"/>
                <wp:lineTo x="0" y="0"/>
              </wp:wrapPolygon>
            </wp:wrapTight>
            <wp:docPr id="911117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17792" name="Picture 9111177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98E">
        <w:rPr>
          <w:b/>
          <w:bCs/>
          <w:sz w:val="36"/>
          <w:szCs w:val="36"/>
        </w:rPr>
        <w:t xml:space="preserve">AT BOD </w:t>
      </w:r>
      <w:r w:rsidR="00AC0984" w:rsidRPr="00AC0984">
        <w:rPr>
          <w:b/>
          <w:bCs/>
          <w:sz w:val="36"/>
          <w:szCs w:val="36"/>
        </w:rPr>
        <w:t>PHOTOGRAPHS</w:t>
      </w:r>
    </w:p>
    <w:sectPr w:rsidR="00EC2D4E" w:rsidRPr="00AC0984">
      <w:pgSz w:w="12240" w:h="15840"/>
      <w:pgMar w:top="7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F2FF4"/>
    <w:multiLevelType w:val="hybridMultilevel"/>
    <w:tmpl w:val="B72A7244"/>
    <w:lvl w:ilvl="0" w:tplc="F716BC14">
      <w:start w:val="1"/>
      <w:numFmt w:val="decimal"/>
      <w:lvlText w:val="%1)"/>
      <w:lvlJc w:val="left"/>
      <w:pPr>
        <w:ind w:left="1956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en-US" w:eastAsia="en-US" w:bidi="ar-SA"/>
      </w:rPr>
    </w:lvl>
    <w:lvl w:ilvl="1" w:tplc="D7FC97F0">
      <w:numFmt w:val="bullet"/>
      <w:lvlText w:val="•"/>
      <w:lvlJc w:val="left"/>
      <w:pPr>
        <w:ind w:left="2808" w:hanging="334"/>
      </w:pPr>
      <w:rPr>
        <w:rFonts w:hint="default"/>
        <w:lang w:val="en-US" w:eastAsia="en-US" w:bidi="ar-SA"/>
      </w:rPr>
    </w:lvl>
    <w:lvl w:ilvl="2" w:tplc="58CA9FB0">
      <w:numFmt w:val="bullet"/>
      <w:lvlText w:val="•"/>
      <w:lvlJc w:val="left"/>
      <w:pPr>
        <w:ind w:left="3656" w:hanging="334"/>
      </w:pPr>
      <w:rPr>
        <w:rFonts w:hint="default"/>
        <w:lang w:val="en-US" w:eastAsia="en-US" w:bidi="ar-SA"/>
      </w:rPr>
    </w:lvl>
    <w:lvl w:ilvl="3" w:tplc="A2E47F96">
      <w:numFmt w:val="bullet"/>
      <w:lvlText w:val="•"/>
      <w:lvlJc w:val="left"/>
      <w:pPr>
        <w:ind w:left="4504" w:hanging="334"/>
      </w:pPr>
      <w:rPr>
        <w:rFonts w:hint="default"/>
        <w:lang w:val="en-US" w:eastAsia="en-US" w:bidi="ar-SA"/>
      </w:rPr>
    </w:lvl>
    <w:lvl w:ilvl="4" w:tplc="1F22A3FE">
      <w:numFmt w:val="bullet"/>
      <w:lvlText w:val="•"/>
      <w:lvlJc w:val="left"/>
      <w:pPr>
        <w:ind w:left="5352" w:hanging="334"/>
      </w:pPr>
      <w:rPr>
        <w:rFonts w:hint="default"/>
        <w:lang w:val="en-US" w:eastAsia="en-US" w:bidi="ar-SA"/>
      </w:rPr>
    </w:lvl>
    <w:lvl w:ilvl="5" w:tplc="CDB2B388">
      <w:numFmt w:val="bullet"/>
      <w:lvlText w:val="•"/>
      <w:lvlJc w:val="left"/>
      <w:pPr>
        <w:ind w:left="6200" w:hanging="334"/>
      </w:pPr>
      <w:rPr>
        <w:rFonts w:hint="default"/>
        <w:lang w:val="en-US" w:eastAsia="en-US" w:bidi="ar-SA"/>
      </w:rPr>
    </w:lvl>
    <w:lvl w:ilvl="6" w:tplc="E5E62F3E">
      <w:numFmt w:val="bullet"/>
      <w:lvlText w:val="•"/>
      <w:lvlJc w:val="left"/>
      <w:pPr>
        <w:ind w:left="7048" w:hanging="334"/>
      </w:pPr>
      <w:rPr>
        <w:rFonts w:hint="default"/>
        <w:lang w:val="en-US" w:eastAsia="en-US" w:bidi="ar-SA"/>
      </w:rPr>
    </w:lvl>
    <w:lvl w:ilvl="7" w:tplc="C5DAE2D2">
      <w:numFmt w:val="bullet"/>
      <w:lvlText w:val="•"/>
      <w:lvlJc w:val="left"/>
      <w:pPr>
        <w:ind w:left="7896" w:hanging="334"/>
      </w:pPr>
      <w:rPr>
        <w:rFonts w:hint="default"/>
        <w:lang w:val="en-US" w:eastAsia="en-US" w:bidi="ar-SA"/>
      </w:rPr>
    </w:lvl>
    <w:lvl w:ilvl="8" w:tplc="21340F98">
      <w:numFmt w:val="bullet"/>
      <w:lvlText w:val="•"/>
      <w:lvlJc w:val="left"/>
      <w:pPr>
        <w:ind w:left="8744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5F3075F0"/>
    <w:multiLevelType w:val="hybridMultilevel"/>
    <w:tmpl w:val="88A4660C"/>
    <w:lvl w:ilvl="0" w:tplc="6AE0A802">
      <w:start w:val="1"/>
      <w:numFmt w:val="decimal"/>
      <w:lvlText w:val="%1."/>
      <w:lvlJc w:val="left"/>
      <w:pPr>
        <w:ind w:left="1351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462442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71DECFA0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BC628430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CAACCC3A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6BBC7C44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B180E782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FF1C89B2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F71EBE62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 w16cid:durableId="1439256495">
    <w:abstractNumId w:val="1"/>
  </w:num>
  <w:num w:numId="2" w16cid:durableId="110114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A51"/>
    <w:rsid w:val="00033F2F"/>
    <w:rsid w:val="000716A0"/>
    <w:rsid w:val="00100A51"/>
    <w:rsid w:val="001F1730"/>
    <w:rsid w:val="0028798E"/>
    <w:rsid w:val="0030666E"/>
    <w:rsid w:val="0031211C"/>
    <w:rsid w:val="00393188"/>
    <w:rsid w:val="00465837"/>
    <w:rsid w:val="00507509"/>
    <w:rsid w:val="00525CE8"/>
    <w:rsid w:val="00584A4F"/>
    <w:rsid w:val="005966A2"/>
    <w:rsid w:val="0065133A"/>
    <w:rsid w:val="006C5869"/>
    <w:rsid w:val="006F22CA"/>
    <w:rsid w:val="007905F6"/>
    <w:rsid w:val="007A6730"/>
    <w:rsid w:val="0086116C"/>
    <w:rsid w:val="00870588"/>
    <w:rsid w:val="0091140E"/>
    <w:rsid w:val="00966BF7"/>
    <w:rsid w:val="00AC0984"/>
    <w:rsid w:val="00B1315D"/>
    <w:rsid w:val="00BC54D2"/>
    <w:rsid w:val="00C17519"/>
    <w:rsid w:val="00D23982"/>
    <w:rsid w:val="00D32A9F"/>
    <w:rsid w:val="00D53472"/>
    <w:rsid w:val="00EC2D4E"/>
    <w:rsid w:val="00ED7D01"/>
    <w:rsid w:val="00F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EC37"/>
  <w15:docId w15:val="{BADA47BB-767F-4037-B175-A7D3373E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38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2A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29ec4-b853-44b1-97af-663a6a25af75" xsi:nil="true"/>
    <lcf76f155ced4ddcb4097134ff3c332f xmlns="026d25ee-5441-4561-8ccc-9ef86cc9b5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1680598E2CD4B8873271FB0A4089D" ma:contentTypeVersion="16" ma:contentTypeDescription="Create a new document." ma:contentTypeScope="" ma:versionID="c5839ebb37d562545feacc3272678071">
  <xsd:schema xmlns:xsd="http://www.w3.org/2001/XMLSchema" xmlns:xs="http://www.w3.org/2001/XMLSchema" xmlns:p="http://schemas.microsoft.com/office/2006/metadata/properties" xmlns:ns2="026d25ee-5441-4561-8ccc-9ef86cc9b58a" xmlns:ns3="d1929ec4-b853-44b1-97af-663a6a25af75" targetNamespace="http://schemas.microsoft.com/office/2006/metadata/properties" ma:root="true" ma:fieldsID="4add24f8720eff595510e835a433d33c" ns2:_="" ns3:_="">
    <xsd:import namespace="026d25ee-5441-4561-8ccc-9ef86cc9b58a"/>
    <xsd:import namespace="d1929ec4-b853-44b1-97af-663a6a25a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25ee-5441-4561-8ccc-9ef86cc9b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9ec4-b853-44b1-97af-663a6a25a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0ff7945-a4ac-414a-a05a-2fc4ae83180d}" ma:internalName="TaxCatchAll" ma:showField="CatchAllData" ma:web="d1929ec4-b853-44b1-97af-663a6a25a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686C1-BF34-4768-8641-D9DAF2A6F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5EAD-C23A-4186-958B-5AC3B59D7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52B51-D793-42C8-81C4-D4B9DAF4E875}">
  <ds:schemaRefs>
    <ds:schemaRef ds:uri="http://schemas.microsoft.com/office/2006/metadata/properties"/>
    <ds:schemaRef ds:uri="http://schemas.microsoft.com/office/infopath/2007/PartnerControls"/>
    <ds:schemaRef ds:uri="d1929ec4-b853-44b1-97af-663a6a25af75"/>
    <ds:schemaRef ds:uri="026d25ee-5441-4561-8ccc-9ef86cc9b58a"/>
  </ds:schemaRefs>
</ds:datastoreItem>
</file>

<file path=customXml/itemProps4.xml><?xml version="1.0" encoding="utf-8"?>
<ds:datastoreItem xmlns:ds="http://schemas.openxmlformats.org/officeDocument/2006/customXml" ds:itemID="{673710DB-DA2B-4E41-BE62-FCAF784E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d25ee-5441-4561-8ccc-9ef86cc9b58a"/>
    <ds:schemaRef ds:uri="d1929ec4-b853-44b1-97af-663a6a25a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for disposal of  old records &amp; unservicable _wooden &amp; iron scraps_ items _2_ - Copy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for disposal of  old records &amp; unservicable _wooden &amp; iron scraps_ items _2_ - Copy</dc:title>
  <dc:creator>ADMINISTRATION</dc:creator>
  <cp:lastModifiedBy>Narendra Rawal</cp:lastModifiedBy>
  <cp:revision>22</cp:revision>
  <dcterms:created xsi:type="dcterms:W3CDTF">2025-05-21T04:10:00Z</dcterms:created>
  <dcterms:modified xsi:type="dcterms:W3CDTF">2025-07-27T12:15:00Z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  <property fmtid="{D5CDD505-2E9C-101B-9397-08002B2CF9AE}" pid="5" name="MSIP_Label_455b24b8-e69b-4583-bfd0-d64b5cee0119_Enabled">
    <vt:lpwstr>true</vt:lpwstr>
  </property>
  <property fmtid="{D5CDD505-2E9C-101B-9397-08002B2CF9AE}" pid="6" name="MSIP_Label_455b24b8-e69b-4583-bfd0-d64b5cee0119_SetDate">
    <vt:lpwstr>2025-05-21T04:10:35Z</vt:lpwstr>
  </property>
  <property fmtid="{D5CDD505-2E9C-101B-9397-08002B2CF9AE}" pid="7" name="MSIP_Label_455b24b8-e69b-4583-bfd0-d64b5cee0119_Method">
    <vt:lpwstr>Privileged</vt:lpwstr>
  </property>
  <property fmtid="{D5CDD505-2E9C-101B-9397-08002B2CF9AE}" pid="8" name="MSIP_Label_455b24b8-e69b-4583-bfd0-d64b5cee0119_Name">
    <vt:lpwstr>Public</vt:lpwstr>
  </property>
  <property fmtid="{D5CDD505-2E9C-101B-9397-08002B2CF9AE}" pid="9" name="MSIP_Label_455b24b8-e69b-4583-bfd0-d64b5cee0119_SiteId">
    <vt:lpwstr>05d75c05-fa1a-42e7-9cf1-eb416c396f2d</vt:lpwstr>
  </property>
  <property fmtid="{D5CDD505-2E9C-101B-9397-08002B2CF9AE}" pid="10" name="MSIP_Label_455b24b8-e69b-4583-bfd0-d64b5cee0119_ActionId">
    <vt:lpwstr>dbf35954-f21a-43ba-b41d-c74f31b761c5</vt:lpwstr>
  </property>
  <property fmtid="{D5CDD505-2E9C-101B-9397-08002B2CF9AE}" pid="11" name="MSIP_Label_455b24b8-e69b-4583-bfd0-d64b5cee0119_ContentBits">
    <vt:lpwstr>0</vt:lpwstr>
  </property>
  <property fmtid="{D5CDD505-2E9C-101B-9397-08002B2CF9AE}" pid="12" name="ContentTypeId">
    <vt:lpwstr>0x010100EEE1680598E2CD4B8873271FB0A4089D</vt:lpwstr>
  </property>
  <property fmtid="{D5CDD505-2E9C-101B-9397-08002B2CF9AE}" pid="13" name="MediaServiceImageTags">
    <vt:lpwstr/>
  </property>
</Properties>
</file>